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6D5A6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6D5A65">
              <w:rPr>
                <w:rFonts w:ascii="Garamond" w:hAnsi="Garamond"/>
                <w:sz w:val="32"/>
                <w:szCs w:val="32"/>
              </w:rPr>
              <w:t xml:space="preserve"> Feb. 5</w:t>
            </w:r>
            <w:r w:rsidR="006D5A65" w:rsidRPr="006D5A6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6D5A65">
              <w:rPr>
                <w:rFonts w:ascii="Garamond" w:hAnsi="Garamond"/>
                <w:sz w:val="32"/>
                <w:szCs w:val="32"/>
                <w:vertAlign w:val="superscript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345D2" w:rsidRDefault="0050001D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collect </w:t>
            </w:r>
            <w:r w:rsidR="003345D2" w:rsidRPr="003345D2">
              <w:rPr>
                <w:rFonts w:ascii="Garamond" w:hAnsi="Garamond"/>
                <w:i/>
                <w:sz w:val="32"/>
                <w:szCs w:val="32"/>
              </w:rPr>
              <w:t>The Lady or The Tiger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 (1</w:t>
            </w:r>
            <w:r w:rsidR="003345D2" w:rsidRPr="003345D2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3345D2">
              <w:rPr>
                <w:rFonts w:ascii="Garamond" w:hAnsi="Garamond"/>
                <w:sz w:val="32"/>
                <w:szCs w:val="32"/>
              </w:rPr>
              <w:t>-3</w:t>
            </w:r>
            <w:r w:rsidR="003345D2" w:rsidRPr="003345D2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) </w:t>
            </w:r>
          </w:p>
          <w:p w:rsidR="003345D2" w:rsidRDefault="003345D2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check/collect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verbals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handout (1</w:t>
            </w:r>
            <w:r w:rsidRPr="003345D2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3345D2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) </w:t>
            </w:r>
          </w:p>
          <w:p w:rsidR="003345D2" w:rsidRDefault="003345D2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4. GMAS </w:t>
            </w:r>
            <w:r w:rsidR="006E4C9C">
              <w:rPr>
                <w:rFonts w:ascii="Garamond" w:hAnsi="Garamond"/>
                <w:sz w:val="32"/>
                <w:szCs w:val="32"/>
              </w:rPr>
              <w:t>Practice &amp; station r</w:t>
            </w:r>
            <w:r>
              <w:rPr>
                <w:rFonts w:ascii="Garamond" w:hAnsi="Garamond"/>
                <w:sz w:val="32"/>
                <w:szCs w:val="32"/>
              </w:rPr>
              <w:t>otation</w:t>
            </w:r>
            <w:r w:rsidR="006E4C9C">
              <w:rPr>
                <w:rFonts w:ascii="Garamond" w:hAnsi="Garamond"/>
                <w:sz w:val="32"/>
                <w:szCs w:val="32"/>
              </w:rPr>
              <w:t>s</w:t>
            </w:r>
            <w:r>
              <w:rPr>
                <w:rFonts w:ascii="Garamond" w:hAnsi="Garamond"/>
                <w:sz w:val="32"/>
                <w:szCs w:val="32"/>
              </w:rPr>
              <w:t xml:space="preserve"> 1</w:t>
            </w:r>
            <w:r w:rsidRPr="003345D2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-5th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3345D2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345D2">
              <w:rPr>
                <w:rFonts w:ascii="Garamond" w:hAnsi="Garamond"/>
                <w:sz w:val="32"/>
                <w:szCs w:val="32"/>
              </w:rPr>
              <w:t>. literary project</w:t>
            </w:r>
          </w:p>
          <w:p w:rsidR="003345D2" w:rsidRDefault="003345D2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let’s move essay</w:t>
            </w:r>
          </w:p>
          <w:p w:rsidR="0050001D" w:rsidRDefault="003345D2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read non-fiction book/b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AB4713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6E4C9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7943" w:type="dxa"/>
          </w:tcPr>
          <w:p w:rsidR="004A2971" w:rsidRPr="00033B75" w:rsidRDefault="00AA4C2B" w:rsidP="003345D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 Feb. 6</w:t>
            </w:r>
            <w:r w:rsidR="003345D2" w:rsidRPr="003345D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033B75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345D2">
              <w:rPr>
                <w:rFonts w:ascii="Garamond" w:hAnsi="Garamond"/>
                <w:sz w:val="32"/>
                <w:szCs w:val="32"/>
              </w:rPr>
              <w:t>GMAS Practice &amp; Stations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3345D2" w:rsidRDefault="00AF2387" w:rsidP="003345D2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3345D2">
              <w:rPr>
                <w:rFonts w:ascii="Garamond" w:hAnsi="Garamond"/>
                <w:sz w:val="32"/>
                <w:szCs w:val="32"/>
              </w:rPr>
              <w:t>Let’s Move Essay</w:t>
            </w:r>
          </w:p>
          <w:p w:rsidR="003345D2" w:rsidRDefault="003345D2" w:rsidP="003345D2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literary project</w:t>
            </w:r>
          </w:p>
          <w:p w:rsidR="00101DC4" w:rsidRPr="00033B75" w:rsidRDefault="003345D2" w:rsidP="003345D2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236E0E">
              <w:rPr>
                <w:rFonts w:ascii="Garamond" w:hAnsi="Garamond"/>
                <w:sz w:val="32"/>
                <w:szCs w:val="32"/>
              </w:rPr>
              <w:t>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bookmarkStart w:id="0" w:name="_GoBack"/>
            <w:bookmarkEnd w:id="0"/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3345D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 Feb. 7</w:t>
            </w:r>
            <w:r w:rsidR="003345D2" w:rsidRPr="003345D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3345D2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proofErr w:type="spellStart"/>
            <w:r w:rsidR="003345D2">
              <w:rPr>
                <w:rFonts w:ascii="Garamond" w:hAnsi="Garamond"/>
                <w:sz w:val="32"/>
                <w:szCs w:val="32"/>
              </w:rPr>
              <w:t>verbals</w:t>
            </w:r>
            <w:proofErr w:type="spellEnd"/>
            <w:r w:rsidR="003345D2">
              <w:rPr>
                <w:rFonts w:ascii="Garamond" w:hAnsi="Garamond"/>
                <w:sz w:val="32"/>
                <w:szCs w:val="32"/>
              </w:rPr>
              <w:t xml:space="preserve"> review</w:t>
            </w:r>
          </w:p>
          <w:p w:rsidR="004D47CE" w:rsidRPr="00845B4F" w:rsidRDefault="003345D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GMAS Practice &amp; stations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4A2971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 Book Project/Read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3345D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 Feb. 8</w:t>
            </w:r>
            <w:r w:rsidR="003345D2" w:rsidRPr="003345D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3345D2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3345D2">
              <w:rPr>
                <w:rFonts w:ascii="Garamond" w:hAnsi="Garamond"/>
                <w:sz w:val="32"/>
                <w:szCs w:val="32"/>
              </w:rPr>
              <w:t>GMAS practice &amp; rotation stations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3345D2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345D2">
              <w:rPr>
                <w:rFonts w:ascii="Garamond" w:hAnsi="Garamond"/>
                <w:sz w:val="32"/>
                <w:szCs w:val="32"/>
              </w:rPr>
              <w:t>let’s move essay</w:t>
            </w:r>
          </w:p>
          <w:p w:rsidR="003345D2" w:rsidRDefault="003345D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literary project</w:t>
            </w:r>
          </w:p>
          <w:p w:rsidR="004D47CE" w:rsidRDefault="003345D2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r</w:t>
            </w:r>
            <w:r w:rsidR="006812E5">
              <w:rPr>
                <w:rFonts w:ascii="Garamond" w:hAnsi="Garamond"/>
                <w:sz w:val="32"/>
                <w:szCs w:val="32"/>
              </w:rPr>
              <w:t>ead/</w:t>
            </w:r>
            <w:r>
              <w:rPr>
                <w:rFonts w:ascii="Garamond" w:hAnsi="Garamond"/>
                <w:sz w:val="32"/>
                <w:szCs w:val="32"/>
              </w:rPr>
              <w:t>b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ook </w:t>
            </w:r>
            <w:r>
              <w:rPr>
                <w:rFonts w:ascii="Garamond" w:hAnsi="Garamond"/>
                <w:sz w:val="32"/>
                <w:szCs w:val="32"/>
              </w:rPr>
              <w:t>p</w:t>
            </w:r>
            <w:r w:rsidR="00AA4C2B">
              <w:rPr>
                <w:rFonts w:ascii="Garamond" w:hAnsi="Garamond"/>
                <w:sz w:val="32"/>
                <w:szCs w:val="32"/>
              </w:rPr>
              <w:t>roject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p w:rsidR="00236E0E" w:rsidRPr="00845B4F" w:rsidRDefault="00236E0E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033" w:type="dxa"/>
          </w:tcPr>
          <w:p w:rsidR="004A2971" w:rsidRPr="00845B4F" w:rsidRDefault="00EB63A5" w:rsidP="003345D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 Feb. 9</w:t>
            </w:r>
            <w:r w:rsidR="003345D2" w:rsidRPr="003345D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3345D2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3345D2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(USA Test-Prep)</w:t>
            </w:r>
          </w:p>
          <w:p w:rsidR="003345D2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3345D2">
              <w:rPr>
                <w:rFonts w:ascii="Garamond" w:hAnsi="Garamond"/>
                <w:sz w:val="32"/>
                <w:szCs w:val="32"/>
              </w:rPr>
              <w:t>collect/share let’s move essays for contest (1</w:t>
            </w:r>
            <w:r w:rsidR="003345D2" w:rsidRPr="003345D2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3345D2">
              <w:rPr>
                <w:rFonts w:ascii="Garamond" w:hAnsi="Garamond"/>
                <w:sz w:val="32"/>
                <w:szCs w:val="32"/>
              </w:rPr>
              <w:t>-3</w:t>
            </w:r>
            <w:r w:rsidR="003345D2" w:rsidRPr="003345D2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3345D2">
              <w:rPr>
                <w:rFonts w:ascii="Garamond" w:hAnsi="Garamond"/>
                <w:sz w:val="32"/>
                <w:szCs w:val="32"/>
              </w:rPr>
              <w:t>)</w:t>
            </w:r>
          </w:p>
          <w:p w:rsidR="004D47CE" w:rsidRDefault="003345D2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literary project check (1</w:t>
            </w:r>
            <w:r w:rsidRPr="003345D2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3345D2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>)</w:t>
            </w:r>
          </w:p>
          <w:p w:rsidR="003345D2" w:rsidRPr="00845B4F" w:rsidRDefault="003345D2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4. 8</w:t>
            </w:r>
            <w:r w:rsidRPr="003345D2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computer lab-Achieve 3000 Student Choice Article  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01DC4" w:rsidRPr="00845B4F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236E0E">
              <w:rPr>
                <w:rFonts w:ascii="Garamond" w:hAnsi="Garamond"/>
                <w:sz w:val="32"/>
                <w:szCs w:val="32"/>
              </w:rPr>
              <w:t>read/book project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345D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6D5A65"/>
    <w:rsid w:val="006E4C9C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DF6F21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8845-E4C1-402C-9B85-E2FE21F7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10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4</cp:revision>
  <cp:lastPrinted>2018-02-03T14:23:00Z</cp:lastPrinted>
  <dcterms:created xsi:type="dcterms:W3CDTF">2018-01-31T22:08:00Z</dcterms:created>
  <dcterms:modified xsi:type="dcterms:W3CDTF">2018-02-03T14:27:00Z</dcterms:modified>
</cp:coreProperties>
</file>