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271E8C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 Dec. 11</w:t>
            </w:r>
            <w:r w:rsidR="00271E8C" w:rsidRPr="00271E8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50001D"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71E8C">
              <w:rPr>
                <w:rFonts w:ascii="Garamond" w:hAnsi="Garamond"/>
                <w:sz w:val="32"/>
                <w:szCs w:val="32"/>
              </w:rPr>
              <w:t>. return any graded papers &amp; student dictionaries</w:t>
            </w:r>
          </w:p>
          <w:p w:rsidR="00271E8C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 SAT Vocab List &amp; </w:t>
            </w:r>
            <w:proofErr w:type="spellStart"/>
            <w:r w:rsidR="00271E8C">
              <w:rPr>
                <w:rFonts w:ascii="Garamond" w:hAnsi="Garamond"/>
                <w:sz w:val="32"/>
                <w:szCs w:val="32"/>
              </w:rPr>
              <w:t>h.w</w:t>
            </w:r>
            <w:proofErr w:type="spellEnd"/>
            <w:r w:rsidR="00271E8C">
              <w:rPr>
                <w:rFonts w:ascii="Garamond" w:hAnsi="Garamond"/>
                <w:sz w:val="32"/>
                <w:szCs w:val="32"/>
              </w:rPr>
              <w:t>. 1</w:t>
            </w:r>
            <w:r w:rsidR="00271E8C" w:rsidRPr="00271E8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271E8C">
              <w:rPr>
                <w:rFonts w:ascii="Garamond" w:hAnsi="Garamond"/>
                <w:sz w:val="32"/>
                <w:szCs w:val="32"/>
              </w:rPr>
              <w:t>-3</w:t>
            </w:r>
            <w:r w:rsidR="00271E8C" w:rsidRPr="00271E8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. </w:t>
            </w:r>
            <w:proofErr w:type="spellStart"/>
            <w:r w:rsidR="00271E8C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271E8C">
              <w:rPr>
                <w:rFonts w:ascii="Garamond" w:hAnsi="Garamond"/>
                <w:sz w:val="32"/>
                <w:szCs w:val="32"/>
              </w:rPr>
              <w:t>.</w:t>
            </w:r>
          </w:p>
          <w:p w:rsidR="0050001D" w:rsidRPr="00033B75" w:rsidRDefault="00271E8C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classroom spelling bee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271E8C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AB4713" w:rsidRPr="00033B75" w:rsidRDefault="00271E8C" w:rsidP="00271E8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USA Test to replace any missing work/zeros</w:t>
            </w:r>
            <w:r w:rsidR="00AB4713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271E8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____Cooperative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271E8C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271E8C" w:rsidRDefault="00271E8C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271E8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 Dec. 12</w:t>
            </w:r>
            <w:r w:rsidR="00271E8C" w:rsidRPr="00271E8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71E8C">
              <w:rPr>
                <w:rFonts w:ascii="Garamond" w:hAnsi="Garamond"/>
                <w:sz w:val="32"/>
                <w:szCs w:val="32"/>
              </w:rPr>
              <w:t>If needed, complete classroom spelling bee</w:t>
            </w:r>
          </w:p>
          <w:p w:rsidR="00271E8C" w:rsidRDefault="00AA4C2B" w:rsidP="00271E8C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 Literature: Poetry Activities for: </w:t>
            </w:r>
            <w:r w:rsidR="00271E8C" w:rsidRPr="00271E8C">
              <w:rPr>
                <w:rFonts w:ascii="Garamond" w:hAnsi="Garamond"/>
                <w:i/>
                <w:sz w:val="32"/>
                <w:szCs w:val="32"/>
              </w:rPr>
              <w:t>Hanging Fire</w:t>
            </w:r>
            <w:r w:rsidR="00271E8C">
              <w:rPr>
                <w:rFonts w:ascii="Garamond" w:hAnsi="Garamond"/>
                <w:i/>
                <w:sz w:val="32"/>
                <w:szCs w:val="32"/>
              </w:rPr>
              <w:t xml:space="preserve"> &amp; </w:t>
            </w:r>
            <w:r w:rsidR="00271E8C" w:rsidRPr="00271E8C">
              <w:rPr>
                <w:rFonts w:ascii="Garamond" w:hAnsi="Garamond"/>
                <w:i/>
                <w:sz w:val="32"/>
                <w:szCs w:val="32"/>
              </w:rPr>
              <w:t>Teenagers</w:t>
            </w:r>
          </w:p>
          <w:p w:rsidR="00AF2387" w:rsidRPr="00033B75" w:rsidRDefault="00AF2387" w:rsidP="00271E8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Closing: </w:t>
            </w:r>
            <w:r w:rsidR="00271E8C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</w:t>
            </w:r>
            <w:r w:rsidR="00271E8C">
              <w:rPr>
                <w:rFonts w:ascii="Garamond" w:hAnsi="Garamond"/>
                <w:sz w:val="32"/>
                <w:szCs w:val="32"/>
              </w:rPr>
              <w:t>/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543D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71E8C">
              <w:rPr>
                <w:rFonts w:ascii="Garamond" w:hAnsi="Garamond"/>
                <w:sz w:val="32"/>
                <w:szCs w:val="32"/>
              </w:rPr>
              <w:t>.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271E8C" w:rsidRPr="00033B75" w:rsidRDefault="00271E8C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USA Test Prep for </w:t>
            </w:r>
            <w:r w:rsidR="008B53D2">
              <w:rPr>
                <w:rFonts w:ascii="Garamond" w:hAnsi="Garamond"/>
                <w:sz w:val="32"/>
                <w:szCs w:val="32"/>
              </w:rPr>
              <w:t>missing</w:t>
            </w:r>
            <w:r w:rsidR="000F2A88">
              <w:rPr>
                <w:rFonts w:ascii="Garamond" w:hAnsi="Garamond"/>
                <w:sz w:val="32"/>
                <w:szCs w:val="32"/>
              </w:rPr>
              <w:t xml:space="preserve"> work</w:t>
            </w:r>
            <w:r>
              <w:rPr>
                <w:rFonts w:ascii="Garamond" w:hAnsi="Garamond"/>
                <w:sz w:val="32"/>
                <w:szCs w:val="32"/>
              </w:rPr>
              <w:t>/zeros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lastRenderedPageBreak/>
              <w:t>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8B53D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8B53D2">
              <w:rPr>
                <w:rFonts w:ascii="Garamond" w:hAnsi="Garamond"/>
                <w:sz w:val="32"/>
                <w:szCs w:val="32"/>
              </w:rPr>
              <w:t xml:space="preserve"> Dec. 13</w:t>
            </w:r>
            <w:r w:rsidR="008B53D2" w:rsidRPr="008B53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B53D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8B53D2">
              <w:rPr>
                <w:rFonts w:ascii="Garamond" w:hAnsi="Garamond"/>
                <w:sz w:val="32"/>
                <w:szCs w:val="32"/>
              </w:rPr>
              <w:t>Literature Classwork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8B53D2">
              <w:rPr>
                <w:rFonts w:ascii="Garamond" w:hAnsi="Garamond"/>
                <w:sz w:val="32"/>
                <w:szCs w:val="32"/>
              </w:rPr>
              <w:t>Grrek &amp; Latin Roots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8B53D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8B53D2">
              <w:rPr>
                <w:rFonts w:ascii="Garamond" w:hAnsi="Garamond"/>
                <w:sz w:val="32"/>
                <w:szCs w:val="32"/>
              </w:rPr>
              <w:t>. Dec.14</w:t>
            </w:r>
            <w:r w:rsidR="008B53D2" w:rsidRPr="008B53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B53D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8B53D2">
              <w:rPr>
                <w:rFonts w:ascii="Garamond" w:hAnsi="Garamond"/>
                <w:sz w:val="32"/>
                <w:szCs w:val="32"/>
              </w:rPr>
              <w:t>Literature classwork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8B53D2">
              <w:rPr>
                <w:rFonts w:ascii="Garamond" w:hAnsi="Garamond"/>
                <w:sz w:val="32"/>
                <w:szCs w:val="32"/>
              </w:rPr>
              <w:t>language lab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0F2A88" w:rsidRPr="00845B4F" w:rsidRDefault="000F2A88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8B53D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8B53D2">
              <w:rPr>
                <w:rFonts w:ascii="Garamond" w:hAnsi="Garamond"/>
                <w:sz w:val="32"/>
                <w:szCs w:val="32"/>
              </w:rPr>
              <w:t xml:space="preserve"> Dec. 15</w:t>
            </w:r>
            <w:r w:rsidR="008B53D2" w:rsidRPr="008B53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B53D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71E8C">
              <w:rPr>
                <w:rFonts w:ascii="Garamond" w:hAnsi="Garamond"/>
                <w:sz w:val="32"/>
                <w:szCs w:val="32"/>
              </w:rPr>
              <w:t>SAT Vocab. Test 1</w:t>
            </w:r>
            <w:r w:rsidR="00271E8C" w:rsidRPr="00271E8C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271E8C">
              <w:rPr>
                <w:rFonts w:ascii="Garamond" w:hAnsi="Garamond"/>
                <w:sz w:val="32"/>
                <w:szCs w:val="32"/>
              </w:rPr>
              <w:t>-3</w:t>
            </w:r>
            <w:r w:rsidR="00271E8C" w:rsidRPr="00271E8C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271E8C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271E8C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271E8C">
              <w:rPr>
                <w:rFonts w:ascii="Garamond" w:hAnsi="Garamond"/>
                <w:sz w:val="32"/>
                <w:szCs w:val="32"/>
              </w:rPr>
              <w:t>.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8B53D2">
              <w:rPr>
                <w:rFonts w:ascii="Garamond" w:hAnsi="Garamond"/>
                <w:sz w:val="32"/>
                <w:szCs w:val="32"/>
              </w:rPr>
              <w:t>USA Test Prep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2A88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71E8C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8B53D2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B4E3-53C3-42F6-ABE1-2C9DC07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2016-05-06T17:39:00Z</cp:lastPrinted>
  <dcterms:created xsi:type="dcterms:W3CDTF">2017-12-08T21:23:00Z</dcterms:created>
  <dcterms:modified xsi:type="dcterms:W3CDTF">2017-12-11T00:57:00Z</dcterms:modified>
</cp:coreProperties>
</file>