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77"/>
        <w:tblW w:w="10903" w:type="dxa"/>
        <w:tblLayout w:type="fixed"/>
        <w:tblLook w:val="04A0" w:firstRow="1" w:lastRow="0" w:firstColumn="1" w:lastColumn="0" w:noHBand="0" w:noVBand="1"/>
      </w:tblPr>
      <w:tblGrid>
        <w:gridCol w:w="1705"/>
        <w:gridCol w:w="1890"/>
        <w:gridCol w:w="1890"/>
        <w:gridCol w:w="1966"/>
        <w:gridCol w:w="1723"/>
        <w:gridCol w:w="1729"/>
      </w:tblGrid>
      <w:tr w:rsidR="00D920A3" w:rsidRPr="00026DF8" w:rsidTr="00D51D25">
        <w:trPr>
          <w:trHeight w:val="287"/>
        </w:trPr>
        <w:tc>
          <w:tcPr>
            <w:tcW w:w="10903" w:type="dxa"/>
            <w:gridSpan w:val="6"/>
            <w:shd w:val="clear" w:color="auto" w:fill="0D0D0D" w:themeFill="text1" w:themeFillTint="F2"/>
          </w:tcPr>
          <w:p w:rsidR="00D920A3" w:rsidRPr="00026DF8" w:rsidRDefault="00D920A3" w:rsidP="00D51D25">
            <w:pPr>
              <w:rPr>
                <w:b/>
                <w:sz w:val="24"/>
              </w:rPr>
            </w:pPr>
            <w:r>
              <w:rPr>
                <w:b/>
                <w:sz w:val="24"/>
              </w:rPr>
              <w:t>Mollie Hoffman                             8</w:t>
            </w:r>
            <w:r w:rsidRPr="0069481B">
              <w:rPr>
                <w:b/>
                <w:sz w:val="24"/>
                <w:vertAlign w:val="superscript"/>
              </w:rPr>
              <w:t>th</w:t>
            </w:r>
            <w:r>
              <w:rPr>
                <w:b/>
                <w:sz w:val="24"/>
              </w:rPr>
              <w:t xml:space="preserve"> Grade ELA (2</w:t>
            </w:r>
            <w:r w:rsidRPr="0069481B">
              <w:rPr>
                <w:b/>
                <w:sz w:val="24"/>
                <w:vertAlign w:val="superscript"/>
              </w:rPr>
              <w:t>nd</w:t>
            </w:r>
            <w:r>
              <w:rPr>
                <w:b/>
                <w:sz w:val="24"/>
              </w:rPr>
              <w:t xml:space="preserve"> and 3</w:t>
            </w:r>
            <w:r w:rsidRPr="0069481B">
              <w:rPr>
                <w:b/>
                <w:sz w:val="24"/>
                <w:vertAlign w:val="superscript"/>
              </w:rPr>
              <w:t>rd</w:t>
            </w:r>
            <w:r>
              <w:rPr>
                <w:b/>
                <w:sz w:val="24"/>
              </w:rPr>
              <w:t xml:space="preserve"> with Novlesky)                               Feb. 26 – March 2</w:t>
            </w:r>
          </w:p>
        </w:tc>
      </w:tr>
      <w:tr w:rsidR="00D920A3" w:rsidRPr="00EF3193" w:rsidTr="00D51D25">
        <w:trPr>
          <w:trHeight w:val="500"/>
        </w:trPr>
        <w:tc>
          <w:tcPr>
            <w:tcW w:w="1705" w:type="dxa"/>
            <w:shd w:val="clear" w:color="auto" w:fill="auto"/>
          </w:tcPr>
          <w:p w:rsidR="00D920A3" w:rsidRPr="00EF3193" w:rsidRDefault="00D920A3" w:rsidP="00D51D25">
            <w:pPr>
              <w:rPr>
                <w:b/>
              </w:rPr>
            </w:pPr>
            <w:r w:rsidRPr="00EF3193">
              <w:rPr>
                <w:b/>
              </w:rPr>
              <w:t>Standard(s</w:t>
            </w:r>
          </w:p>
        </w:tc>
        <w:tc>
          <w:tcPr>
            <w:tcW w:w="9198" w:type="dxa"/>
            <w:gridSpan w:val="5"/>
            <w:shd w:val="clear" w:color="auto" w:fill="auto"/>
          </w:tcPr>
          <w:p w:rsidR="00D920A3" w:rsidRDefault="00D920A3" w:rsidP="00D920A3">
            <w:r>
              <w:t>W3</w:t>
            </w:r>
          </w:p>
          <w:p w:rsidR="00D920A3" w:rsidRDefault="00D920A3" w:rsidP="00D920A3">
            <w:r>
              <w:t>W4</w:t>
            </w:r>
          </w:p>
          <w:p w:rsidR="00D920A3" w:rsidRDefault="00D920A3" w:rsidP="00D920A3">
            <w:r>
              <w:t>W10</w:t>
            </w:r>
            <w:bookmarkStart w:id="0" w:name="_GoBack"/>
            <w:bookmarkEnd w:id="0"/>
          </w:p>
          <w:p w:rsidR="00D920A3" w:rsidRPr="00D920A3" w:rsidRDefault="00D920A3" w:rsidP="00D920A3"/>
        </w:tc>
      </w:tr>
      <w:tr w:rsidR="00D920A3" w:rsidRPr="00EF3193" w:rsidTr="00D51D25">
        <w:trPr>
          <w:trHeight w:val="581"/>
        </w:trPr>
        <w:tc>
          <w:tcPr>
            <w:tcW w:w="1705" w:type="dxa"/>
            <w:shd w:val="clear" w:color="auto" w:fill="auto"/>
          </w:tcPr>
          <w:p w:rsidR="00D920A3" w:rsidRPr="00026DF8" w:rsidRDefault="00D920A3" w:rsidP="00D51D25">
            <w:pPr>
              <w:rPr>
                <w:b/>
              </w:rPr>
            </w:pPr>
            <w:r>
              <w:rPr>
                <w:b/>
              </w:rPr>
              <w:t>Learning Goal(s)</w:t>
            </w:r>
          </w:p>
        </w:tc>
        <w:tc>
          <w:tcPr>
            <w:tcW w:w="9198" w:type="dxa"/>
            <w:gridSpan w:val="5"/>
            <w:shd w:val="clear" w:color="auto" w:fill="auto"/>
          </w:tcPr>
          <w:p w:rsidR="00D920A3" w:rsidRDefault="00D920A3" w:rsidP="00D920A3">
            <w:r>
              <w:t>I can write a narrative.</w:t>
            </w:r>
          </w:p>
          <w:p w:rsidR="00D920A3" w:rsidRDefault="00D920A3" w:rsidP="00D920A3">
            <w:r>
              <w:t>I can write over an extended period of time.</w:t>
            </w:r>
          </w:p>
          <w:p w:rsidR="00D920A3" w:rsidRPr="00EF3193" w:rsidRDefault="00D920A3" w:rsidP="00D51D25"/>
        </w:tc>
      </w:tr>
      <w:tr w:rsidR="00D920A3" w:rsidRPr="00EF3193" w:rsidTr="00D51D25">
        <w:trPr>
          <w:trHeight w:val="1059"/>
        </w:trPr>
        <w:tc>
          <w:tcPr>
            <w:tcW w:w="1705" w:type="dxa"/>
            <w:shd w:val="clear" w:color="auto" w:fill="auto"/>
          </w:tcPr>
          <w:p w:rsidR="00D920A3" w:rsidRDefault="00D920A3" w:rsidP="00D51D25">
            <w:pPr>
              <w:rPr>
                <w:b/>
              </w:rPr>
            </w:pPr>
            <w:r>
              <w:rPr>
                <w:b/>
              </w:rPr>
              <w:t>Smart Start</w:t>
            </w:r>
          </w:p>
          <w:p w:rsidR="00D920A3" w:rsidRPr="00CC3649" w:rsidRDefault="00D920A3" w:rsidP="00D51D25">
            <w:pPr>
              <w:rPr>
                <w:b/>
              </w:rPr>
            </w:pPr>
          </w:p>
        </w:tc>
        <w:tc>
          <w:tcPr>
            <w:tcW w:w="1890" w:type="dxa"/>
            <w:shd w:val="clear" w:color="auto" w:fill="auto"/>
          </w:tcPr>
          <w:p w:rsidR="00D920A3" w:rsidRDefault="00D920A3" w:rsidP="00D51D25">
            <w:r>
              <w:t>Go to media center (all week)</w:t>
            </w:r>
          </w:p>
          <w:p w:rsidR="00D920A3" w:rsidRPr="00A64E7E" w:rsidRDefault="00D920A3" w:rsidP="00D51D25"/>
        </w:tc>
        <w:tc>
          <w:tcPr>
            <w:tcW w:w="1890" w:type="dxa"/>
            <w:shd w:val="clear" w:color="auto" w:fill="auto"/>
          </w:tcPr>
          <w:p w:rsidR="00D920A3" w:rsidRPr="00A64E7E" w:rsidRDefault="00D920A3" w:rsidP="00D51D25">
            <w:r>
              <w:t>Media Center</w:t>
            </w:r>
          </w:p>
        </w:tc>
        <w:tc>
          <w:tcPr>
            <w:tcW w:w="1966" w:type="dxa"/>
            <w:shd w:val="clear" w:color="auto" w:fill="auto"/>
          </w:tcPr>
          <w:p w:rsidR="00D920A3" w:rsidRPr="00EF3193" w:rsidRDefault="00D920A3" w:rsidP="00D51D25">
            <w:r>
              <w:t>Media Center</w:t>
            </w:r>
          </w:p>
        </w:tc>
        <w:tc>
          <w:tcPr>
            <w:tcW w:w="1723" w:type="dxa"/>
            <w:shd w:val="clear" w:color="auto" w:fill="auto"/>
          </w:tcPr>
          <w:p w:rsidR="00D920A3" w:rsidRPr="00EF3193" w:rsidRDefault="00D920A3" w:rsidP="00D51D25">
            <w:r>
              <w:t>Media Center</w:t>
            </w:r>
          </w:p>
        </w:tc>
        <w:tc>
          <w:tcPr>
            <w:tcW w:w="1729" w:type="dxa"/>
            <w:shd w:val="clear" w:color="auto" w:fill="auto"/>
          </w:tcPr>
          <w:p w:rsidR="00D920A3" w:rsidRPr="00EF3193" w:rsidRDefault="00D920A3" w:rsidP="00D51D25">
            <w:r>
              <w:t>Media Center</w:t>
            </w:r>
          </w:p>
        </w:tc>
      </w:tr>
      <w:tr w:rsidR="00D920A3" w:rsidRPr="00EF3193" w:rsidTr="00D51D25">
        <w:trPr>
          <w:trHeight w:val="882"/>
        </w:trPr>
        <w:tc>
          <w:tcPr>
            <w:tcW w:w="1705" w:type="dxa"/>
            <w:shd w:val="clear" w:color="auto" w:fill="auto"/>
          </w:tcPr>
          <w:p w:rsidR="00D920A3" w:rsidRPr="00CC3649" w:rsidRDefault="00D920A3" w:rsidP="00D51D25">
            <w:pPr>
              <w:rPr>
                <w:b/>
              </w:rPr>
            </w:pPr>
            <w:r>
              <w:rPr>
                <w:b/>
              </w:rPr>
              <w:t>Work Session</w:t>
            </w:r>
          </w:p>
        </w:tc>
        <w:tc>
          <w:tcPr>
            <w:tcW w:w="1890" w:type="dxa"/>
            <w:shd w:val="clear" w:color="auto" w:fill="auto"/>
          </w:tcPr>
          <w:p w:rsidR="00D920A3" w:rsidRDefault="005C2129" w:rsidP="00D51D25">
            <w:r>
              <w:t>Writing Narratives Interactive lesson:</w:t>
            </w:r>
          </w:p>
          <w:p w:rsidR="005C2129" w:rsidRDefault="005C2129" w:rsidP="00D51D25"/>
          <w:p w:rsidR="005C2129" w:rsidRDefault="005C2129" w:rsidP="00D51D25">
            <w:r>
              <w:t>Intro</w:t>
            </w:r>
          </w:p>
          <w:p w:rsidR="005C2129" w:rsidRDefault="005C2129" w:rsidP="00D51D25"/>
          <w:p w:rsidR="005C2129" w:rsidRDefault="005C2129" w:rsidP="00D51D25">
            <w:r>
              <w:t>Narrative context</w:t>
            </w:r>
          </w:p>
          <w:p w:rsidR="005C2129" w:rsidRDefault="005C2129" w:rsidP="00D51D25"/>
          <w:p w:rsidR="005C2129" w:rsidRDefault="005C2129" w:rsidP="00D51D25">
            <w:r>
              <w:t>Point of View</w:t>
            </w:r>
          </w:p>
          <w:p w:rsidR="005C2129" w:rsidRDefault="005C2129" w:rsidP="00D51D25"/>
          <w:p w:rsidR="005C2129" w:rsidRPr="00E734BF" w:rsidRDefault="005C2129" w:rsidP="00D51D25">
            <w:r>
              <w:t>Characters</w:t>
            </w:r>
          </w:p>
        </w:tc>
        <w:tc>
          <w:tcPr>
            <w:tcW w:w="1890" w:type="dxa"/>
            <w:shd w:val="clear" w:color="auto" w:fill="auto"/>
          </w:tcPr>
          <w:p w:rsidR="00D920A3" w:rsidRDefault="005C2129" w:rsidP="00D51D25">
            <w:r>
              <w:t>Writing Narratives Interactive lesson</w:t>
            </w:r>
          </w:p>
          <w:p w:rsidR="005C2129" w:rsidRDefault="005C2129" w:rsidP="00D51D25"/>
          <w:p w:rsidR="005C2129" w:rsidRDefault="005C2129" w:rsidP="00D51D25">
            <w:r>
              <w:t>Narrative Structure</w:t>
            </w:r>
          </w:p>
          <w:p w:rsidR="005C2129" w:rsidRDefault="005C2129" w:rsidP="00D51D25"/>
          <w:p w:rsidR="005C2129" w:rsidRDefault="005C2129" w:rsidP="00D51D25">
            <w:r>
              <w:t xml:space="preserve">Narrative Techniques </w:t>
            </w:r>
          </w:p>
          <w:p w:rsidR="005C2129" w:rsidRDefault="005C2129" w:rsidP="00D51D25"/>
          <w:p w:rsidR="005C2129" w:rsidRPr="00EF3193" w:rsidRDefault="005C2129" w:rsidP="00D51D25">
            <w:r>
              <w:t>The Language of Narrative</w:t>
            </w:r>
          </w:p>
        </w:tc>
        <w:tc>
          <w:tcPr>
            <w:tcW w:w="1966" w:type="dxa"/>
            <w:shd w:val="clear" w:color="auto" w:fill="auto"/>
          </w:tcPr>
          <w:p w:rsidR="00D920A3" w:rsidRDefault="005C2129" w:rsidP="00D51D25">
            <w:r>
              <w:t>Begin writing a personal narratives</w:t>
            </w:r>
          </w:p>
          <w:p w:rsidR="005C2129" w:rsidRDefault="005C2129" w:rsidP="00D51D25"/>
          <w:p w:rsidR="005C2129" w:rsidRDefault="005C2129" w:rsidP="00D51D25">
            <w:r>
              <w:t xml:space="preserve">Prompt: </w:t>
            </w:r>
          </w:p>
          <w:p w:rsidR="005C2129" w:rsidRPr="00E734BF" w:rsidRDefault="005C2129" w:rsidP="00D51D25">
            <w:r>
              <w:t>You wake up one day to find yourself living somebody else’s life. Whose life are you living? What happened to your life? How does it feel? What do you do? Write a story about the experience of being someone else for a day. Use details so that your reader will understand your experience.</w:t>
            </w:r>
          </w:p>
          <w:p w:rsidR="00D920A3" w:rsidRPr="00EF3193" w:rsidRDefault="00D920A3" w:rsidP="00D51D25"/>
        </w:tc>
        <w:tc>
          <w:tcPr>
            <w:tcW w:w="1723" w:type="dxa"/>
            <w:shd w:val="clear" w:color="auto" w:fill="auto"/>
          </w:tcPr>
          <w:p w:rsidR="00D920A3" w:rsidRDefault="005C2129" w:rsidP="00D920A3">
            <w:r>
              <w:t>Continue personal narratives</w:t>
            </w:r>
          </w:p>
          <w:p w:rsidR="005C2129" w:rsidRDefault="005C2129" w:rsidP="00D920A3"/>
          <w:p w:rsidR="005C2129" w:rsidRPr="00EF3193" w:rsidRDefault="005C2129" w:rsidP="00D920A3">
            <w:r>
              <w:t>Narratives due!</w:t>
            </w:r>
          </w:p>
        </w:tc>
        <w:tc>
          <w:tcPr>
            <w:tcW w:w="1729" w:type="dxa"/>
            <w:shd w:val="clear" w:color="auto" w:fill="auto"/>
          </w:tcPr>
          <w:p w:rsidR="00D920A3" w:rsidRDefault="00D920A3" w:rsidP="00D920A3">
            <w:r>
              <w:t>Achieve 3000</w:t>
            </w:r>
          </w:p>
          <w:p w:rsidR="00D920A3" w:rsidRDefault="00D920A3" w:rsidP="00D920A3"/>
          <w:p w:rsidR="00D920A3" w:rsidRDefault="00D920A3" w:rsidP="00D920A3">
            <w:r>
              <w:t>Choose TWO articles– complete the activity and stretch activity for both, and a thought question for one</w:t>
            </w:r>
          </w:p>
          <w:p w:rsidR="005C2129" w:rsidRDefault="005C2129" w:rsidP="00D920A3"/>
          <w:p w:rsidR="005C2129" w:rsidRPr="005C2129" w:rsidRDefault="005C2129" w:rsidP="00D920A3">
            <w:pPr>
              <w:rPr>
                <w:b/>
              </w:rPr>
            </w:pPr>
            <w:r w:rsidRPr="005C2129">
              <w:rPr>
                <w:b/>
              </w:rPr>
              <w:t>Finish narratives if needed</w:t>
            </w:r>
          </w:p>
          <w:p w:rsidR="00D920A3" w:rsidRPr="00EF3193" w:rsidRDefault="00D920A3" w:rsidP="00D51D25"/>
          <w:p w:rsidR="00D920A3" w:rsidRPr="00EF3193" w:rsidRDefault="00D920A3" w:rsidP="00D51D25"/>
        </w:tc>
      </w:tr>
      <w:tr w:rsidR="00D920A3" w:rsidTr="00D51D25">
        <w:trPr>
          <w:trHeight w:val="882"/>
        </w:trPr>
        <w:tc>
          <w:tcPr>
            <w:tcW w:w="1705" w:type="dxa"/>
            <w:shd w:val="clear" w:color="auto" w:fill="auto"/>
          </w:tcPr>
          <w:p w:rsidR="00D920A3" w:rsidRDefault="00D920A3" w:rsidP="00D51D25">
            <w:pPr>
              <w:rPr>
                <w:b/>
              </w:rPr>
            </w:pPr>
            <w:r>
              <w:rPr>
                <w:b/>
              </w:rPr>
              <w:t>Closing</w:t>
            </w:r>
          </w:p>
        </w:tc>
        <w:tc>
          <w:tcPr>
            <w:tcW w:w="1890" w:type="dxa"/>
            <w:shd w:val="clear" w:color="auto" w:fill="auto"/>
          </w:tcPr>
          <w:p w:rsidR="00D920A3" w:rsidRDefault="005C2129" w:rsidP="00D51D25">
            <w:r>
              <w:t>Questions about narratives?</w:t>
            </w:r>
          </w:p>
          <w:p w:rsidR="00D920A3" w:rsidRPr="00E734BF" w:rsidRDefault="00D920A3" w:rsidP="00D51D25"/>
        </w:tc>
        <w:tc>
          <w:tcPr>
            <w:tcW w:w="1890" w:type="dxa"/>
            <w:shd w:val="clear" w:color="auto" w:fill="auto"/>
          </w:tcPr>
          <w:p w:rsidR="00D920A3" w:rsidRDefault="005C2129" w:rsidP="00D51D25">
            <w:r>
              <w:t>Questions about narratives?</w:t>
            </w:r>
          </w:p>
        </w:tc>
        <w:tc>
          <w:tcPr>
            <w:tcW w:w="1966" w:type="dxa"/>
            <w:shd w:val="clear" w:color="auto" w:fill="auto"/>
          </w:tcPr>
          <w:p w:rsidR="00D920A3" w:rsidRDefault="005C2129" w:rsidP="00D51D25">
            <w:r>
              <w:t xml:space="preserve">Writer’s conference </w:t>
            </w:r>
          </w:p>
        </w:tc>
        <w:tc>
          <w:tcPr>
            <w:tcW w:w="1723" w:type="dxa"/>
            <w:shd w:val="clear" w:color="auto" w:fill="auto"/>
          </w:tcPr>
          <w:p w:rsidR="00D920A3" w:rsidRDefault="005C2129" w:rsidP="00D51D25">
            <w:r>
              <w:t>Writer’s conference</w:t>
            </w:r>
          </w:p>
        </w:tc>
        <w:tc>
          <w:tcPr>
            <w:tcW w:w="1729" w:type="dxa"/>
            <w:shd w:val="clear" w:color="auto" w:fill="auto"/>
          </w:tcPr>
          <w:p w:rsidR="00D920A3" w:rsidRDefault="00D920A3" w:rsidP="00D51D25"/>
        </w:tc>
      </w:tr>
    </w:tbl>
    <w:p w:rsidR="00B7261D" w:rsidRDefault="00C97A55"/>
    <w:sectPr w:rsidR="00B7261D" w:rsidSect="00D92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A3"/>
    <w:rsid w:val="00282F82"/>
    <w:rsid w:val="005C2129"/>
    <w:rsid w:val="005D3A2B"/>
    <w:rsid w:val="00C97A55"/>
    <w:rsid w:val="00D9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3CC98-E058-429F-8661-08FC8E30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Mollie E</dc:creator>
  <cp:keywords/>
  <dc:description/>
  <cp:lastModifiedBy>Hoffman Mollie E</cp:lastModifiedBy>
  <cp:revision>2</cp:revision>
  <dcterms:created xsi:type="dcterms:W3CDTF">2018-02-15T20:35:00Z</dcterms:created>
  <dcterms:modified xsi:type="dcterms:W3CDTF">2018-02-15T20:35:00Z</dcterms:modified>
</cp:coreProperties>
</file>